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2F" w:rsidRDefault="00E0312F" w:rsidP="00BB78D3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Приложение №  </w:t>
      </w:r>
      <w:r w:rsidRPr="00784883"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</w:p>
    <w:p w:rsidR="00E0312F" w:rsidRPr="00784883" w:rsidRDefault="00E0312F" w:rsidP="00BB78D3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Pr="00784883">
        <w:rPr>
          <w:rFonts w:ascii="Times New Roman" w:hAnsi="Times New Roman" w:cs="Times New Roman"/>
          <w:bCs/>
          <w:sz w:val="24"/>
          <w:szCs w:val="24"/>
        </w:rPr>
        <w:t>администрации ОРМО</w:t>
      </w:r>
    </w:p>
    <w:p w:rsidR="00E0312F" w:rsidRPr="00784883" w:rsidRDefault="00E0312F" w:rsidP="00BB78D3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</w:p>
    <w:p w:rsidR="00E0312F" w:rsidRPr="00784883" w:rsidRDefault="00E0312F" w:rsidP="00BB78D3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Приложение </w:t>
      </w:r>
      <w:r w:rsidRPr="00784883">
        <w:rPr>
          <w:rFonts w:ascii="Times New Roman" w:hAnsi="Times New Roman" w:cs="Times New Roman"/>
          <w:bCs/>
          <w:sz w:val="24"/>
          <w:szCs w:val="24"/>
        </w:rPr>
        <w:t>1</w:t>
      </w:r>
    </w:p>
    <w:p w:rsidR="00E0312F" w:rsidRPr="00784883" w:rsidRDefault="00E0312F" w:rsidP="00BB78D3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48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4883">
        <w:rPr>
          <w:rFonts w:ascii="Times New Roman" w:hAnsi="Times New Roman" w:cs="Times New Roman"/>
          <w:bCs/>
          <w:sz w:val="24"/>
          <w:szCs w:val="24"/>
        </w:rPr>
        <w:tab/>
      </w:r>
      <w:r w:rsidRPr="00784883">
        <w:rPr>
          <w:rFonts w:ascii="Times New Roman" w:hAnsi="Times New Roman" w:cs="Times New Roman"/>
          <w:bCs/>
          <w:sz w:val="24"/>
          <w:szCs w:val="24"/>
        </w:rPr>
        <w:tab/>
      </w:r>
      <w:r w:rsidRPr="00784883">
        <w:rPr>
          <w:rFonts w:ascii="Times New Roman" w:hAnsi="Times New Roman" w:cs="Times New Roman"/>
          <w:bCs/>
          <w:sz w:val="24"/>
          <w:szCs w:val="24"/>
        </w:rPr>
        <w:tab/>
      </w:r>
      <w:r w:rsidRPr="00784883">
        <w:rPr>
          <w:rFonts w:ascii="Times New Roman" w:hAnsi="Times New Roman" w:cs="Times New Roman"/>
          <w:bCs/>
          <w:sz w:val="24"/>
          <w:szCs w:val="24"/>
        </w:rPr>
        <w:tab/>
        <w:t xml:space="preserve">   к муниципальной программе ОРМО                                           </w:t>
      </w:r>
    </w:p>
    <w:p w:rsidR="00E0312F" w:rsidRPr="00784883" w:rsidRDefault="00E0312F" w:rsidP="00BB78D3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«</w:t>
      </w:r>
      <w:r w:rsidRPr="00784883">
        <w:rPr>
          <w:rFonts w:ascii="Times New Roman" w:hAnsi="Times New Roman" w:cs="Times New Roman"/>
          <w:bCs/>
          <w:sz w:val="24"/>
          <w:szCs w:val="24"/>
        </w:rPr>
        <w:t>Совершенствование механизмов</w:t>
      </w:r>
    </w:p>
    <w:p w:rsidR="00E0312F" w:rsidRDefault="00E0312F" w:rsidP="00BB78D3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Pr="00784883">
        <w:rPr>
          <w:rFonts w:ascii="Times New Roman" w:hAnsi="Times New Roman" w:cs="Times New Roman"/>
          <w:bCs/>
          <w:sz w:val="24"/>
          <w:szCs w:val="24"/>
        </w:rPr>
        <w:t xml:space="preserve">муниципального управления в </w:t>
      </w:r>
    </w:p>
    <w:p w:rsidR="00E0312F" w:rsidRDefault="00E0312F" w:rsidP="00BB78D3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ОРМО</w:t>
      </w:r>
      <w:r w:rsidRPr="00784883">
        <w:rPr>
          <w:rFonts w:ascii="Times New Roman" w:hAnsi="Times New Roman" w:cs="Times New Roman"/>
          <w:bCs/>
          <w:sz w:val="24"/>
          <w:szCs w:val="24"/>
        </w:rPr>
        <w:t xml:space="preserve">»на 2014-2017 годы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312F" w:rsidRPr="00784883" w:rsidRDefault="00E0312F" w:rsidP="00784883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312F" w:rsidRPr="00420114" w:rsidRDefault="00E0312F" w:rsidP="0078488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114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E0312F" w:rsidRPr="00420114" w:rsidRDefault="00E0312F" w:rsidP="00851BC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114">
        <w:rPr>
          <w:rFonts w:ascii="Times New Roman" w:hAnsi="Times New Roman" w:cs="Times New Roman"/>
          <w:b/>
          <w:bCs/>
          <w:sz w:val="28"/>
          <w:szCs w:val="28"/>
        </w:rPr>
        <w:t>ПОДПРОГРАММЫ   «ОБЕСПЕЧЕНИЕ ДЕЯТЕЛЬНОСТИ  МЭРА РАЙОНА И АДМИНИСТРАЦИИ ОРМО»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20114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20114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E0312F" w:rsidRPr="00F64B4F" w:rsidRDefault="00E0312F" w:rsidP="00851BC6">
      <w:pPr>
        <w:autoSpaceDE w:val="0"/>
        <w:autoSpaceDN w:val="0"/>
        <w:adjustRightInd w:val="0"/>
        <w:jc w:val="center"/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5"/>
        <w:gridCol w:w="5773"/>
      </w:tblGrid>
      <w:tr w:rsidR="00E0312F" w:rsidRPr="007503EA">
        <w:tc>
          <w:tcPr>
            <w:tcW w:w="3695" w:type="dxa"/>
            <w:vAlign w:val="center"/>
          </w:tcPr>
          <w:p w:rsidR="00E0312F" w:rsidRPr="00B9370C" w:rsidRDefault="00E0312F" w:rsidP="007D0CC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73" w:type="dxa"/>
            <w:vAlign w:val="center"/>
          </w:tcPr>
          <w:p w:rsidR="00E0312F" w:rsidRPr="00B9370C" w:rsidRDefault="00E0312F" w:rsidP="00933169">
            <w:pPr>
              <w:snapToGrid w:val="0"/>
              <w:spacing w:line="100" w:lineRule="atLeast"/>
              <w:ind w:left="-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8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муниципального управления в Ольхонском районном муниципальном образовании на 2014-2017 годы</w:t>
            </w:r>
          </w:p>
        </w:tc>
      </w:tr>
      <w:tr w:rsidR="00E0312F" w:rsidRPr="007503EA">
        <w:tc>
          <w:tcPr>
            <w:tcW w:w="3695" w:type="dxa"/>
            <w:vAlign w:val="center"/>
          </w:tcPr>
          <w:p w:rsidR="00E0312F" w:rsidRPr="00B9370C" w:rsidRDefault="00E0312F" w:rsidP="007D0CC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773" w:type="dxa"/>
            <w:vAlign w:val="center"/>
          </w:tcPr>
          <w:p w:rsidR="00E0312F" w:rsidRPr="00B9370C" w:rsidRDefault="00E0312F" w:rsidP="00784883">
            <w:pPr>
              <w:snapToGrid w:val="0"/>
              <w:spacing w:line="100" w:lineRule="atLeast"/>
              <w:ind w:left="-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мэра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ОРМО»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0312F" w:rsidRPr="007503EA">
        <w:trPr>
          <w:trHeight w:val="433"/>
        </w:trPr>
        <w:tc>
          <w:tcPr>
            <w:tcW w:w="3695" w:type="dxa"/>
            <w:vAlign w:val="center"/>
          </w:tcPr>
          <w:p w:rsidR="00E0312F" w:rsidRPr="00B9370C" w:rsidRDefault="00E0312F" w:rsidP="007D0CC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773" w:type="dxa"/>
            <w:vAlign w:val="center"/>
          </w:tcPr>
          <w:p w:rsidR="00E0312F" w:rsidRPr="00B9370C" w:rsidRDefault="00E0312F" w:rsidP="00784883">
            <w:pPr>
              <w:snapToGrid w:val="0"/>
              <w:spacing w:line="100" w:lineRule="atLeast"/>
              <w:ind w:left="-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Администрация ОРМО</w:t>
            </w:r>
          </w:p>
          <w:p w:rsidR="00E0312F" w:rsidRPr="00B9370C" w:rsidRDefault="00E0312F" w:rsidP="00784883">
            <w:pPr>
              <w:spacing w:line="100" w:lineRule="atLeast"/>
              <w:ind w:left="-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12F" w:rsidRPr="007503EA">
        <w:tc>
          <w:tcPr>
            <w:tcW w:w="3695" w:type="dxa"/>
            <w:vAlign w:val="center"/>
          </w:tcPr>
          <w:p w:rsidR="00E0312F" w:rsidRPr="00B9370C" w:rsidRDefault="00E0312F" w:rsidP="007D0CC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773" w:type="dxa"/>
            <w:vAlign w:val="center"/>
          </w:tcPr>
          <w:p w:rsidR="00E0312F" w:rsidRPr="00B9370C" w:rsidRDefault="00E0312F" w:rsidP="0093316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Внутриструктурные отделы администрации ОРМО и  КУМИиПТ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КУСС ОРМО</w:t>
            </w:r>
          </w:p>
        </w:tc>
      </w:tr>
      <w:tr w:rsidR="00E0312F" w:rsidRPr="007503EA" w:rsidTr="00784883">
        <w:trPr>
          <w:trHeight w:val="70"/>
        </w:trPr>
        <w:tc>
          <w:tcPr>
            <w:tcW w:w="3695" w:type="dxa"/>
            <w:vAlign w:val="center"/>
          </w:tcPr>
          <w:p w:rsidR="00E0312F" w:rsidRPr="00B9370C" w:rsidRDefault="00E0312F" w:rsidP="007D0CC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773" w:type="dxa"/>
            <w:vAlign w:val="center"/>
          </w:tcPr>
          <w:p w:rsidR="00E0312F" w:rsidRPr="00B9370C" w:rsidRDefault="00E0312F" w:rsidP="0093316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деятельности администрации района</w:t>
            </w:r>
          </w:p>
        </w:tc>
      </w:tr>
      <w:tr w:rsidR="00E0312F" w:rsidRPr="007503EA">
        <w:trPr>
          <w:trHeight w:val="6976"/>
        </w:trPr>
        <w:tc>
          <w:tcPr>
            <w:tcW w:w="3695" w:type="dxa"/>
            <w:vAlign w:val="center"/>
          </w:tcPr>
          <w:p w:rsidR="00E0312F" w:rsidRPr="00B9370C" w:rsidRDefault="00E0312F" w:rsidP="007D0CC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адачи подпрограммы</w:t>
            </w:r>
          </w:p>
        </w:tc>
        <w:tc>
          <w:tcPr>
            <w:tcW w:w="5773" w:type="dxa"/>
            <w:vAlign w:val="center"/>
          </w:tcPr>
          <w:tbl>
            <w:tblPr>
              <w:tblpPr w:leftFromText="180" w:rightFromText="180" w:horzAnchor="margin" w:tblpY="210"/>
              <w:tblOverlap w:val="never"/>
              <w:tblW w:w="555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557"/>
            </w:tblGrid>
            <w:tr w:rsidR="00E0312F" w:rsidRPr="00B9370C">
              <w:trPr>
                <w:trHeight w:val="299"/>
              </w:trPr>
              <w:tc>
                <w:tcPr>
                  <w:tcW w:w="5557" w:type="dxa"/>
                </w:tcPr>
                <w:p w:rsidR="00E0312F" w:rsidRPr="00B9370C" w:rsidRDefault="00E0312F" w:rsidP="0093316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370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 Создание необходимых условий для эффективной работы мэра района, администрации ОРМО и ее структурных подразделений.</w:t>
                  </w:r>
                </w:p>
                <w:p w:rsidR="00E0312F" w:rsidRPr="00B9370C" w:rsidRDefault="00E0312F" w:rsidP="00933169">
                  <w:pPr>
                    <w:snapToGrid w:val="0"/>
                    <w:spacing w:line="100" w:lineRule="atLeast"/>
                    <w:jc w:val="both"/>
                    <w:textAlignment w:val="top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370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 Материально-техническое, финансовое обеспечение деятельности мэра района, отделов, КУМИ и ПТ администрации ОРМО.</w:t>
                  </w:r>
                </w:p>
                <w:p w:rsidR="00E0312F" w:rsidRPr="00B9370C" w:rsidRDefault="00E0312F" w:rsidP="00933169">
                  <w:pPr>
                    <w:snapToGrid w:val="0"/>
                    <w:spacing w:line="100" w:lineRule="atLeast"/>
                    <w:jc w:val="both"/>
                    <w:textAlignment w:val="top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370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 Повышение эффективности в области земельно-имущественных отношений и управления муниципальным имуществом.</w:t>
                  </w:r>
                </w:p>
                <w:p w:rsidR="00E0312F" w:rsidRPr="00B9370C" w:rsidRDefault="00E0312F" w:rsidP="00933169">
                  <w:pPr>
                    <w:snapToGrid w:val="0"/>
                    <w:spacing w:line="100" w:lineRule="atLeast"/>
                    <w:jc w:val="both"/>
                    <w:textAlignment w:val="top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370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 Развитие инвестиционной политики в ОРМО.</w:t>
                  </w:r>
                </w:p>
                <w:p w:rsidR="00E0312F" w:rsidRPr="00B9370C" w:rsidRDefault="00E0312F" w:rsidP="00933169">
                  <w:pPr>
                    <w:snapToGrid w:val="0"/>
                    <w:spacing w:line="100" w:lineRule="atLeast"/>
                    <w:jc w:val="both"/>
                    <w:textAlignment w:val="top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370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5. Стимулирование и поощрение граждан, организаций за вклад в развитие района</w:t>
                  </w:r>
                </w:p>
              </w:tc>
            </w:tr>
            <w:tr w:rsidR="00E0312F" w:rsidRPr="00B9370C">
              <w:trPr>
                <w:trHeight w:val="299"/>
              </w:trPr>
              <w:tc>
                <w:tcPr>
                  <w:tcW w:w="5557" w:type="dxa"/>
                </w:tcPr>
                <w:p w:rsidR="00E0312F" w:rsidRPr="00B9370C" w:rsidRDefault="00E0312F" w:rsidP="00933169">
                  <w:pPr>
                    <w:snapToGrid w:val="0"/>
                    <w:spacing w:line="100" w:lineRule="atLeast"/>
                    <w:jc w:val="both"/>
                    <w:textAlignment w:val="top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370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6. Обеспечение исполнения переданных полномочий поселений района в соответствии с соглашениями о передаче полномочий.</w:t>
                  </w:r>
                </w:p>
                <w:p w:rsidR="00E0312F" w:rsidRDefault="00E0312F" w:rsidP="00933169">
                  <w:pPr>
                    <w:snapToGrid w:val="0"/>
                    <w:spacing w:line="100" w:lineRule="atLeast"/>
                    <w:jc w:val="both"/>
                    <w:textAlignment w:val="top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370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7. Исполнение принятых социальных гарантий по выплате муниципальной пенсии</w:t>
                  </w:r>
                </w:p>
                <w:p w:rsidR="00E0312F" w:rsidRPr="00B9370C" w:rsidRDefault="00E0312F" w:rsidP="00933169">
                  <w:pPr>
                    <w:pStyle w:val="ListParagraph"/>
                    <w:tabs>
                      <w:tab w:val="left" w:pos="459"/>
                    </w:tabs>
                    <w:suppressAutoHyphens w:val="0"/>
                    <w:ind w:left="3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8.</w:t>
                  </w:r>
                  <w:r w:rsidRPr="00825F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Управление резервным фондом администрации ОРМО</w:t>
                  </w:r>
                </w:p>
              </w:tc>
            </w:tr>
          </w:tbl>
          <w:p w:rsidR="00E0312F" w:rsidRPr="00B9370C" w:rsidRDefault="00E0312F" w:rsidP="0093316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12F" w:rsidRPr="007503EA">
        <w:tc>
          <w:tcPr>
            <w:tcW w:w="3695" w:type="dxa"/>
            <w:vAlign w:val="center"/>
          </w:tcPr>
          <w:p w:rsidR="00E0312F" w:rsidRPr="00B9370C" w:rsidRDefault="00E0312F" w:rsidP="007D0CC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73" w:type="dxa"/>
            <w:vAlign w:val="center"/>
          </w:tcPr>
          <w:p w:rsidR="00E0312F" w:rsidRPr="00B9370C" w:rsidRDefault="00E0312F" w:rsidP="007D0CC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0312F" w:rsidRPr="007503EA">
        <w:tc>
          <w:tcPr>
            <w:tcW w:w="3695" w:type="dxa"/>
            <w:vAlign w:val="center"/>
          </w:tcPr>
          <w:p w:rsidR="00E0312F" w:rsidRPr="00B9370C" w:rsidRDefault="00E0312F" w:rsidP="007D0CC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773" w:type="dxa"/>
            <w:vAlign w:val="center"/>
          </w:tcPr>
          <w:p w:rsidR="00E0312F" w:rsidRPr="00C80169" w:rsidRDefault="00E0312F" w:rsidP="00851BC6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замечаний мэра района на работу отделов, КУМИ и ПТ (да-1, нет-0)</w:t>
            </w:r>
          </w:p>
          <w:p w:rsidR="00E0312F" w:rsidRPr="00B9370C" w:rsidRDefault="00E0312F" w:rsidP="00851BC6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выявленных контролирующими органами и зафиксированных нарушений (да-0, нет -1)</w:t>
            </w:r>
          </w:p>
          <w:p w:rsidR="00E0312F" w:rsidRDefault="00E0312F" w:rsidP="00851BC6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плана доходов от использования муниципального имущества (да-1, нет-0)</w:t>
            </w:r>
          </w:p>
          <w:p w:rsidR="00E0312F" w:rsidRDefault="00E0312F" w:rsidP="00851BC6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схемы территориального планирования ОРМО </w:t>
            </w:r>
            <w:r w:rsidRPr="00B9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(да-1, нет-0)</w:t>
            </w:r>
          </w:p>
          <w:p w:rsidR="00E0312F" w:rsidRPr="00B9370C" w:rsidRDefault="00E0312F" w:rsidP="007D0CC2">
            <w:pPr>
              <w:pStyle w:val="ListParagraph"/>
              <w:suppressAutoHyphens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312F" w:rsidRPr="007503EA">
        <w:tc>
          <w:tcPr>
            <w:tcW w:w="3695" w:type="dxa"/>
            <w:vAlign w:val="center"/>
          </w:tcPr>
          <w:p w:rsidR="00E0312F" w:rsidRPr="00B9370C" w:rsidRDefault="00E0312F" w:rsidP="007D0CC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мероприятий, входящих в состав подпрограммы муниципальной программы</w:t>
            </w:r>
          </w:p>
        </w:tc>
        <w:tc>
          <w:tcPr>
            <w:tcW w:w="5773" w:type="dxa"/>
            <w:vAlign w:val="center"/>
          </w:tcPr>
          <w:p w:rsidR="00E0312F" w:rsidRPr="00C80169" w:rsidRDefault="00E0312F" w:rsidP="00933169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полномочий мэра района,</w:t>
            </w:r>
            <w:r w:rsidRPr="00C80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ОРМО</w:t>
            </w:r>
            <w:r w:rsidRPr="00C80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0312F" w:rsidRPr="00C80169" w:rsidRDefault="00E0312F" w:rsidP="00933169">
            <w:pPr>
              <w:pStyle w:val="ListParagraph"/>
              <w:numPr>
                <w:ilvl w:val="0"/>
                <w:numId w:val="2"/>
              </w:num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полномочий администрации ОРМО по у</w:t>
            </w:r>
            <w:r w:rsidRPr="00C80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C80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распоряжению </w:t>
            </w:r>
            <w:r w:rsidRPr="00C80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землями и земельными участками,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управлению </w:t>
            </w:r>
            <w:r w:rsidRPr="00C80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 имуществом.</w:t>
            </w:r>
          </w:p>
          <w:p w:rsidR="00E0312F" w:rsidRPr="00B9370C" w:rsidRDefault="00E0312F" w:rsidP="00933169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полномочий администрации района в сфере </w:t>
            </w:r>
            <w:r w:rsidRPr="00B9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инвестиционной политики в ОРМО.</w:t>
            </w:r>
          </w:p>
          <w:p w:rsidR="00E0312F" w:rsidRPr="00B9370C" w:rsidRDefault="00E0312F" w:rsidP="00933169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Награждение </w:t>
            </w:r>
            <w:r w:rsidRPr="00B9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Почетной грамотой и Благодарностью мэра района.</w:t>
            </w:r>
          </w:p>
          <w:p w:rsidR="00E0312F" w:rsidRPr="00B9370C" w:rsidRDefault="00E0312F" w:rsidP="00933169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переданных полномочий поселений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администрацией ОРМО.</w:t>
            </w:r>
          </w:p>
          <w:p w:rsidR="00E0312F" w:rsidRDefault="00E0312F" w:rsidP="00933169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Выплата муниципальной пенсии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0312F" w:rsidRPr="00825F17" w:rsidRDefault="00E0312F" w:rsidP="00933169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непредвиденных расходов за счет средств резервного фонда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0312F" w:rsidRPr="00B9370C" w:rsidRDefault="00E0312F" w:rsidP="00933169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312F" w:rsidRPr="007503EA">
        <w:tc>
          <w:tcPr>
            <w:tcW w:w="3695" w:type="dxa"/>
            <w:vAlign w:val="center"/>
          </w:tcPr>
          <w:p w:rsidR="00E0312F" w:rsidRPr="00C80169" w:rsidRDefault="00E0312F" w:rsidP="007D0CC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0169">
              <w:rPr>
                <w:rFonts w:ascii="Times New Roman" w:hAnsi="Times New Roman" w:cs="Times New Roman"/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773" w:type="dxa"/>
            <w:vAlign w:val="center"/>
          </w:tcPr>
          <w:p w:rsidR="00E0312F" w:rsidRPr="00C80169" w:rsidRDefault="00E0312F" w:rsidP="00933169">
            <w:pPr>
              <w:snapToGrid w:val="0"/>
              <w:spacing w:line="100" w:lineRule="atLeast"/>
              <w:ind w:firstLine="34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80169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0312F" w:rsidRPr="007503EA">
        <w:tc>
          <w:tcPr>
            <w:tcW w:w="3695" w:type="dxa"/>
            <w:vAlign w:val="center"/>
          </w:tcPr>
          <w:p w:rsidR="00E0312F" w:rsidRPr="00B9370C" w:rsidRDefault="00E0312F" w:rsidP="007D0CC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5773" w:type="dxa"/>
            <w:vAlign w:val="center"/>
          </w:tcPr>
          <w:p w:rsidR="00E0312F" w:rsidRDefault="00E0312F" w:rsidP="0093316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65559,3 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0312F" w:rsidRPr="00B9370C" w:rsidRDefault="00E0312F" w:rsidP="0093316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22686,9 тыс.рублей.</w:t>
            </w:r>
          </w:p>
          <w:p w:rsidR="00E0312F" w:rsidRPr="00B9370C" w:rsidRDefault="00E0312F" w:rsidP="0093316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20316,3 тыс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E0312F" w:rsidRPr="00B9370C" w:rsidRDefault="00E0312F" w:rsidP="0093316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11311,7 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E0312F" w:rsidRPr="00B9370C" w:rsidRDefault="00E0312F" w:rsidP="0093316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11244,4 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E0312F" w:rsidRPr="00B9370C" w:rsidRDefault="00E0312F" w:rsidP="0093316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районного бюджета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64538,0 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0312F" w:rsidRPr="00B9370C" w:rsidRDefault="00E0312F" w:rsidP="0093316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22063,8 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E0312F" w:rsidRPr="00B9370C" w:rsidRDefault="00E0312F" w:rsidP="0093316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19918,1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0312F" w:rsidRDefault="00E0312F" w:rsidP="0093316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14603,3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E0312F" w:rsidRDefault="00E0312F" w:rsidP="0093316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11244,4 тыс.рублей.</w:t>
            </w:r>
          </w:p>
          <w:p w:rsidR="00E0312F" w:rsidRPr="00B9370C" w:rsidRDefault="00E0312F" w:rsidP="0093316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бюджетов поселений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1021,3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0312F" w:rsidRPr="00B9370C" w:rsidRDefault="00E0312F" w:rsidP="0093316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623,1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0312F" w:rsidRPr="00B9370C" w:rsidRDefault="00E0312F" w:rsidP="0093316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398,2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0312F" w:rsidRPr="00B9370C" w:rsidRDefault="00E0312F" w:rsidP="0093316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E0312F" w:rsidRPr="00B9370C" w:rsidRDefault="00E0312F" w:rsidP="0093316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тыс.руб</w:t>
            </w:r>
          </w:p>
        </w:tc>
      </w:tr>
      <w:tr w:rsidR="00E0312F" w:rsidRPr="007503EA">
        <w:tc>
          <w:tcPr>
            <w:tcW w:w="3695" w:type="dxa"/>
            <w:vAlign w:val="center"/>
          </w:tcPr>
          <w:p w:rsidR="00E0312F" w:rsidRPr="00B9370C" w:rsidRDefault="00E0312F" w:rsidP="007D0CC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5773" w:type="dxa"/>
            <w:vAlign w:val="center"/>
          </w:tcPr>
          <w:p w:rsidR="00E0312F" w:rsidRPr="0013048F" w:rsidRDefault="00E0312F" w:rsidP="0093316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Качественное выполнение возложенных функций отделами администрации ОРМО</w:t>
            </w:r>
            <w:r w:rsidRPr="00130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КУМИ и ПТ администрации ОРМО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мэра района по качеству выполнения возложенных функций по методике, установленной правовым актом администрации ОРМО</w:t>
            </w:r>
            <w:r w:rsidRPr="00130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0312F" w:rsidRPr="00B9370C" w:rsidRDefault="00E0312F" w:rsidP="00933169">
            <w:pPr>
              <w:pStyle w:val="ListParagraph"/>
              <w:suppressAutoHyphens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0312F" w:rsidRDefault="00E0312F" w:rsidP="00851BC6">
      <w:pPr>
        <w:rPr>
          <w:sz w:val="28"/>
          <w:szCs w:val="28"/>
        </w:rPr>
      </w:pPr>
    </w:p>
    <w:p w:rsidR="00E0312F" w:rsidRPr="00B9370C" w:rsidRDefault="00E0312F" w:rsidP="00851BC6">
      <w:pPr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E0312F" w:rsidRPr="00B9370C" w:rsidRDefault="00E0312F" w:rsidP="00851BC6">
      <w:pPr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0312F" w:rsidRPr="00B9370C" w:rsidRDefault="00E0312F" w:rsidP="00851BC6">
      <w:pPr>
        <w:autoSpaceDE w:val="0"/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Целью подпрограммы «Обеспечение деятельности мэра района и администрации ОРМО» является  </w:t>
      </w:r>
      <w:r>
        <w:rPr>
          <w:rFonts w:ascii="Times New Roman" w:hAnsi="Times New Roman" w:cs="Times New Roman"/>
          <w:sz w:val="28"/>
          <w:szCs w:val="28"/>
        </w:rPr>
        <w:t>обеспечение эффективной</w:t>
      </w:r>
      <w:r w:rsidRPr="00B9370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района, включающей</w:t>
      </w:r>
      <w:r w:rsidRPr="003B3BE5">
        <w:rPr>
          <w:rFonts w:ascii="Times New Roman" w:hAnsi="Times New Roman" w:cs="Times New Roman"/>
          <w:sz w:val="28"/>
          <w:szCs w:val="28"/>
        </w:rPr>
        <w:t xml:space="preserve"> </w:t>
      </w:r>
      <w:r w:rsidRPr="00B9370C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полномочий мэра района, деятельность </w:t>
      </w:r>
      <w:r w:rsidRPr="00B9370C">
        <w:rPr>
          <w:rFonts w:ascii="Times New Roman" w:hAnsi="Times New Roman" w:cs="Times New Roman"/>
          <w:sz w:val="28"/>
          <w:szCs w:val="28"/>
        </w:rPr>
        <w:t>внутриструктурных отделов администрации ОРМО и Комитета по управлению муниципальным имуществом и планировке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 рамках установленных законодательством полномочий администрации ОРМО.</w:t>
      </w:r>
    </w:p>
    <w:p w:rsidR="00E0312F" w:rsidRPr="00B9370C" w:rsidRDefault="00E0312F" w:rsidP="00851BC6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>Для обеспечения реализации поставленных целей  администрации района необходимо выполнение следующих задач:</w:t>
      </w:r>
    </w:p>
    <w:p w:rsidR="00E0312F" w:rsidRPr="00B9370C" w:rsidRDefault="00E0312F" w:rsidP="00851B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>1.</w:t>
      </w:r>
      <w:r w:rsidRPr="00B9370C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необходимых условий для эффективной работы мэра района, с</w:t>
      </w:r>
      <w:r w:rsidRPr="00B9370C">
        <w:rPr>
          <w:rFonts w:ascii="Times New Roman" w:hAnsi="Times New Roman" w:cs="Times New Roman"/>
          <w:sz w:val="28"/>
          <w:szCs w:val="28"/>
        </w:rPr>
        <w:t>одействие мэру района в развитии муниципального управления</w:t>
      </w:r>
      <w:r w:rsidRPr="00B937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12F" w:rsidRPr="00B9370C" w:rsidRDefault="00E0312F" w:rsidP="00851BC6">
      <w:pPr>
        <w:snapToGrid w:val="0"/>
        <w:spacing w:line="100" w:lineRule="atLeast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2. </w:t>
      </w:r>
      <w:r w:rsidRPr="00B9370C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Материально-техническое, финансовое обеспечение деятельности мэра района, отделов, КУМИ и ПТ администрации ОРМО.</w:t>
      </w:r>
    </w:p>
    <w:p w:rsidR="00E0312F" w:rsidRPr="00B9370C" w:rsidRDefault="00E0312F" w:rsidP="00851BC6">
      <w:pPr>
        <w:snapToGrid w:val="0"/>
        <w:spacing w:line="100" w:lineRule="atLeast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370C">
        <w:rPr>
          <w:rFonts w:ascii="Times New Roman" w:hAnsi="Times New Roman" w:cs="Times New Roman"/>
          <w:color w:val="000000"/>
          <w:sz w:val="28"/>
          <w:szCs w:val="28"/>
        </w:rPr>
        <w:t>3. Повышение эффективности в области земельно-имущественных отношений и управления муниципальным имуществом.</w:t>
      </w:r>
    </w:p>
    <w:p w:rsidR="00E0312F" w:rsidRPr="00B9370C" w:rsidRDefault="00E0312F" w:rsidP="00851BC6">
      <w:pPr>
        <w:snapToGrid w:val="0"/>
        <w:spacing w:line="100" w:lineRule="atLeast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370C">
        <w:rPr>
          <w:rFonts w:ascii="Times New Roman" w:hAnsi="Times New Roman" w:cs="Times New Roman"/>
          <w:color w:val="000000"/>
          <w:sz w:val="28"/>
          <w:szCs w:val="28"/>
        </w:rPr>
        <w:t>4. Развитие инвестиционной политики в ОРМО.</w:t>
      </w:r>
    </w:p>
    <w:p w:rsidR="00E0312F" w:rsidRPr="00B9370C" w:rsidRDefault="00E0312F" w:rsidP="00851BC6">
      <w:pPr>
        <w:snapToGrid w:val="0"/>
        <w:spacing w:line="100" w:lineRule="atLeast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370C">
        <w:rPr>
          <w:rFonts w:ascii="Times New Roman" w:hAnsi="Times New Roman" w:cs="Times New Roman"/>
          <w:color w:val="000000"/>
          <w:sz w:val="28"/>
          <w:szCs w:val="28"/>
        </w:rPr>
        <w:t>5. Стимулирование и поощрение граждан, организаций за вклад в развитие района.</w:t>
      </w:r>
    </w:p>
    <w:p w:rsidR="00E0312F" w:rsidRPr="00B9370C" w:rsidRDefault="00E0312F" w:rsidP="00851BC6">
      <w:pPr>
        <w:snapToGrid w:val="0"/>
        <w:spacing w:line="100" w:lineRule="atLeast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370C">
        <w:rPr>
          <w:rFonts w:ascii="Times New Roman" w:hAnsi="Times New Roman" w:cs="Times New Roman"/>
          <w:color w:val="000000"/>
          <w:sz w:val="28"/>
          <w:szCs w:val="28"/>
        </w:rPr>
        <w:t>6. Обеспечение исполнения переданных полномочий поселений района в соответствии с соглашениями о передаче полномочий.</w:t>
      </w:r>
    </w:p>
    <w:p w:rsidR="00E0312F" w:rsidRDefault="00E0312F" w:rsidP="00851BC6">
      <w:pPr>
        <w:snapToGrid w:val="0"/>
        <w:spacing w:line="100" w:lineRule="atLeast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370C">
        <w:rPr>
          <w:rFonts w:ascii="Times New Roman" w:hAnsi="Times New Roman" w:cs="Times New Roman"/>
          <w:color w:val="000000"/>
          <w:sz w:val="28"/>
          <w:szCs w:val="28"/>
        </w:rPr>
        <w:t>7. Исполнение принятых социальных гарантий по выплате муниципальной пенсии.</w:t>
      </w:r>
    </w:p>
    <w:p w:rsidR="00E0312F" w:rsidRPr="00B9370C" w:rsidRDefault="00E0312F" w:rsidP="00851BC6">
      <w:pPr>
        <w:snapToGrid w:val="0"/>
        <w:spacing w:line="100" w:lineRule="atLeast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825F17">
        <w:rPr>
          <w:rFonts w:ascii="Times New Roman" w:hAnsi="Times New Roman" w:cs="Times New Roman"/>
          <w:color w:val="000000"/>
          <w:sz w:val="28"/>
          <w:szCs w:val="28"/>
        </w:rPr>
        <w:t>Управление резервным фондом администрации ОРМО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12F" w:rsidRPr="00B9370C" w:rsidRDefault="00E0312F" w:rsidP="00851BC6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>Для оценки эффективности подпрограммы целевые показатели (индикаторы) определены приложением 1.</w:t>
      </w:r>
    </w:p>
    <w:p w:rsidR="00E0312F" w:rsidRPr="00B9370C" w:rsidRDefault="00E0312F" w:rsidP="00851BC6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>Сроки реализации программы 2014 –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370C">
        <w:rPr>
          <w:rFonts w:ascii="Times New Roman" w:hAnsi="Times New Roman" w:cs="Times New Roman"/>
          <w:sz w:val="28"/>
          <w:szCs w:val="28"/>
        </w:rPr>
        <w:t>годы.</w:t>
      </w:r>
    </w:p>
    <w:p w:rsidR="00E0312F" w:rsidRPr="00B9370C" w:rsidRDefault="00E0312F" w:rsidP="00851BC6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312F" w:rsidRPr="00B9370C" w:rsidRDefault="00E0312F" w:rsidP="00851BC6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E0312F" w:rsidRPr="00B9370C" w:rsidRDefault="00E0312F" w:rsidP="00851BC6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312F" w:rsidRPr="00B9370C" w:rsidRDefault="00E0312F" w:rsidP="00851BC6">
      <w:pPr>
        <w:spacing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70C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подпрограммы  «Обеспечение деятельности мэра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9370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ОРМО» на 2014-201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9370C">
        <w:rPr>
          <w:rFonts w:ascii="Times New Roman" w:hAnsi="Times New Roman" w:cs="Times New Roman"/>
          <w:color w:val="000000"/>
          <w:sz w:val="28"/>
          <w:szCs w:val="28"/>
        </w:rPr>
        <w:t xml:space="preserve"> годы  муниципальной программы «Повышение эффективности механизмов управления социально-экономическим развитием ОРМО» определены приложением 2.</w:t>
      </w:r>
    </w:p>
    <w:p w:rsidR="00E0312F" w:rsidRPr="00B9370C" w:rsidRDefault="00E0312F" w:rsidP="00851BC6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>В соответствии с целями подпрограммы в течение срока ее реализации предполагается осуществить следующие основные мероприятия:</w:t>
      </w:r>
    </w:p>
    <w:p w:rsidR="00E0312F" w:rsidRPr="00B9370C" w:rsidRDefault="00E0312F" w:rsidP="00851BC6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70C">
        <w:rPr>
          <w:rFonts w:ascii="Times New Roman" w:hAnsi="Times New Roman" w:cs="Times New Roman"/>
          <w:sz w:val="28"/>
          <w:szCs w:val="28"/>
        </w:rPr>
        <w:t>1. По реализации задачи 1-2 запланировано основное мероприятие «</w:t>
      </w:r>
      <w:r w:rsidRPr="00B9370C">
        <w:rPr>
          <w:rFonts w:ascii="Times New Roman" w:hAnsi="Times New Roman" w:cs="Times New Roman"/>
          <w:color w:val="000000"/>
          <w:sz w:val="28"/>
          <w:szCs w:val="28"/>
        </w:rPr>
        <w:t>Обеспечение реал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изации полномочий мэра района, </w:t>
      </w:r>
      <w:r w:rsidRPr="00B9370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ОРМО», предусматривающее повышение эффективности исполнения возложенных функций отделом правового и организационно-технического обеспечения, отделом учета и отчетности, административно-хозяйственной группой администрации ОРМО. </w:t>
      </w:r>
      <w:r w:rsidRPr="00B9370C">
        <w:rPr>
          <w:rFonts w:ascii="Times New Roman" w:hAnsi="Times New Roman" w:cs="Times New Roman"/>
          <w:sz w:val="28"/>
          <w:szCs w:val="28"/>
        </w:rPr>
        <w:t>В рамках мероприятия  планируется: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1) организация подготовки проектов решений районной Думы; 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2) осуществление правового обеспечения деятельности мэра района при реализации его полномочий как высшего должностного лица муниципального образования, а также правового обеспечения деятельности администрации ОРМО; 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3) защита интересов мэра района при реализации его полномочий как высшего должностного лица муниципального образования, а также интересов администрации ОРМО в судебных органах; 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4) организация осуществления антикоррупционной экспертизы  нормативных правовых актов ОРМО, а также их проектов; 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5) организация подготовки материалов для публичных выступлений мэра района; 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6) обеспечение деятельности совещательных и координационных органов при мэре района и администрации ОРМО во взаимодействии со структурными подразделениями администрации района; 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7) организация подготовки предложений мэру района об обеспечении согласованного функционирования и взаимодействия органов (отделов) администрации ОРМО; 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8) координация деятельности правовых (юридических) структурных подразделений (должностных лиц по правовым вопросам) администрации ОРМО; 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9) обеспечение взаимодействия мэра района и администрации ОРМО с политическими партиями, общественными и религиозными объединениями, профессиональными союзами, средствами массовой информации и иными организациями (объединениями) и гражданами; 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10) обеспечение диалога со структурами гражданского общества ОРМО, содействие их развитию и укреплению; 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11) обеспечение взаимодействия мэра района и администрации ОРМО с органами государственной власти, органами местного самоуправления муниципальных образований; 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12) обеспечение взаимодействия мэра района и администрации ОРМО с губернатором Иркутской области, аппаратом губернатора Иркутской области; 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13) организация подготовки предложений мэру района по повышению эффективности муниципальной службы в ОРМО; 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14) содействие мэру района в реализации его полномочий по кадровой политике; 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15) обеспечение реализации мэром района его полномочий, касающихся представления к государственным наградам Российской Федерации, наградам Иркутской области, иных предусмотренных законодательством поощрений, награждения Почетной грамотой и Благодарностью мэра района; 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16) организация подготовки предложений мэру района по вопросам реализации реформы местного самоуправления в ОРМО и решения вопросов административно-территориального устройства ОРМО; 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17) проведение в установленных случаях правовой и иных видов экспертиз муниципальных нормативных правовых актов ОРМО; 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18) организация рассмотрения обращений граждан в адрес мэра района, администрации ОРМО,  учет и анализ обращений граждан, предложений общественных объединений и органов местного самоуправления муниципальных образований ОРМО, представление соответствующих докладов мэру района; </w:t>
      </w:r>
    </w:p>
    <w:p w:rsidR="00E0312F" w:rsidRPr="00B9370C" w:rsidRDefault="00E0312F" w:rsidP="00851BC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          19)формирование архивного фонда ОРМО, правовых актов мэра района и администрации ОРМО и иных необходимых документов;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20) осуществление бюджетных полномочий главного распорядителя и получателя средств районного бюджета, главного администратора доходов районного бюджета; 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21) организация бюджетного и бухгалтерского учета, составления, рассмотрения, утверждения бюджетной, бухгалтерской, налоговой и статистической отчетности; 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>22) иные функции, предусмотренные Уставом ОРМО, Положением об администрации ОРМО, Положением об отделе правого и организационно-технического обеспечения, об отделе учета и отчетности, об административно-хозяйственной группе администрации ОРМО.</w:t>
      </w:r>
    </w:p>
    <w:p w:rsidR="00E0312F" w:rsidRPr="00B9370C" w:rsidRDefault="00E0312F" w:rsidP="00851BC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370C">
        <w:rPr>
          <w:rFonts w:ascii="Times New Roman" w:hAnsi="Times New Roman" w:cs="Times New Roman"/>
          <w:sz w:val="28"/>
          <w:szCs w:val="28"/>
        </w:rPr>
        <w:t>2. По исполнению задачи 3 запланировано основное мероприятие «</w:t>
      </w:r>
      <w:r>
        <w:rPr>
          <w:rFonts w:ascii="Times New Roman" w:hAnsi="Times New Roman" w:cs="Times New Roman"/>
          <w:sz w:val="28"/>
          <w:szCs w:val="28"/>
        </w:rPr>
        <w:t>Реализация полномочий администрации ОРМО по управлению и распоряжению землями и земельными участками, управлению муниципальным имуществом</w:t>
      </w:r>
      <w:r w:rsidRPr="00B9370C">
        <w:rPr>
          <w:rFonts w:ascii="Times New Roman" w:hAnsi="Times New Roman" w:cs="Times New Roman"/>
          <w:sz w:val="28"/>
          <w:szCs w:val="28"/>
        </w:rPr>
        <w:t xml:space="preserve">», </w:t>
      </w:r>
      <w:r w:rsidRPr="00B9370C">
        <w:rPr>
          <w:rFonts w:ascii="Times New Roman" w:hAnsi="Times New Roman" w:cs="Times New Roman"/>
          <w:color w:val="000000"/>
          <w:sz w:val="28"/>
          <w:szCs w:val="28"/>
        </w:rPr>
        <w:t>предусматривающее повышение эффективности исполнения возложенных функций на Комитет по управлению муниципальным имуществом и планированию территорий. В</w:t>
      </w:r>
      <w:r w:rsidRPr="00B9370C">
        <w:rPr>
          <w:rFonts w:ascii="Times New Roman" w:hAnsi="Times New Roman" w:cs="Times New Roman"/>
          <w:sz w:val="28"/>
          <w:szCs w:val="28"/>
        </w:rPr>
        <w:t xml:space="preserve"> рамках мероприятия планируется: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>1) выработка и реализация единой политики в области имущественных и земельных отношений и градостроительной политики в Ольхонском районном муниципальном образовании.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2"/>
      <w:r w:rsidRPr="00B9370C">
        <w:rPr>
          <w:rFonts w:ascii="Times New Roman" w:hAnsi="Times New Roman" w:cs="Times New Roman"/>
          <w:sz w:val="28"/>
          <w:szCs w:val="28"/>
        </w:rPr>
        <w:t>2) обеспечение эффективного управления и распоряжения муниципальным имуществом Ольхонского районного муниципального образования и земельными ресурсами района.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3"/>
      <w:bookmarkEnd w:id="0"/>
      <w:r w:rsidRPr="00B9370C">
        <w:rPr>
          <w:rFonts w:ascii="Times New Roman" w:hAnsi="Times New Roman" w:cs="Times New Roman"/>
          <w:sz w:val="28"/>
          <w:szCs w:val="28"/>
        </w:rPr>
        <w:t>3) обеспечение интересов Ольхонского районного муниципального образования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в составе Российской Федерации и муниципальную собственность.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4"/>
      <w:bookmarkEnd w:id="1"/>
      <w:r w:rsidRPr="00B9370C">
        <w:rPr>
          <w:rFonts w:ascii="Times New Roman" w:hAnsi="Times New Roman" w:cs="Times New Roman"/>
          <w:sz w:val="28"/>
          <w:szCs w:val="28"/>
        </w:rPr>
        <w:t>4) обеспечение интересов Ольхонского районного муниципального образования в процессе разграничения государственной собственности на землю на собственность Российской Федерации, собственность субъектов Российской Федерации и собственность муниципальных образований.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5"/>
      <w:bookmarkEnd w:id="2"/>
      <w:r w:rsidRPr="00B9370C">
        <w:rPr>
          <w:rFonts w:ascii="Times New Roman" w:hAnsi="Times New Roman" w:cs="Times New Roman"/>
          <w:sz w:val="28"/>
          <w:szCs w:val="28"/>
        </w:rPr>
        <w:t>5)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действующим законодательством.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6"/>
      <w:bookmarkEnd w:id="3"/>
      <w:r w:rsidRPr="00B9370C">
        <w:rPr>
          <w:rFonts w:ascii="Times New Roman" w:hAnsi="Times New Roman" w:cs="Times New Roman"/>
          <w:sz w:val="28"/>
          <w:szCs w:val="28"/>
        </w:rPr>
        <w:t>6) защита прав и интересов Ольхонского районного муниципального образования в сфере имущественных и земельных правоотношений.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7"/>
      <w:bookmarkEnd w:id="4"/>
      <w:r w:rsidRPr="00B9370C">
        <w:rPr>
          <w:rFonts w:ascii="Times New Roman" w:hAnsi="Times New Roman" w:cs="Times New Roman"/>
          <w:sz w:val="28"/>
          <w:szCs w:val="28"/>
        </w:rPr>
        <w:t>7) осуществление администрирования поступлений в бюджет Ольхонского районного муниципального образования в соответствии с правовыми актами Ольхонского районного муниципального образования.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8"/>
      <w:bookmarkEnd w:id="5"/>
      <w:r w:rsidRPr="00B9370C">
        <w:rPr>
          <w:rFonts w:ascii="Times New Roman" w:hAnsi="Times New Roman" w:cs="Times New Roman"/>
          <w:sz w:val="28"/>
          <w:szCs w:val="28"/>
        </w:rPr>
        <w:t>8) организация предоставления муниципальных услуг по вопросам, отнесенным к компетенции Комитета по управлению муниципальным имуществом и планированию территорий, в соответствии с правовыми актами Ольхонского районного муниципального образования.</w:t>
      </w:r>
    </w:p>
    <w:p w:rsidR="00E0312F" w:rsidRPr="00B9370C" w:rsidRDefault="00E0312F" w:rsidP="00851BC6">
      <w:pPr>
        <w:spacing w:line="100" w:lineRule="atLeast"/>
        <w:ind w:firstLine="708"/>
        <w:jc w:val="both"/>
        <w:rPr>
          <w:rFonts w:ascii="Times New Roman" w:hAnsi="Times New Roman" w:cs="Times New Roman"/>
        </w:rPr>
      </w:pPr>
      <w:r w:rsidRPr="00B9370C">
        <w:rPr>
          <w:rFonts w:ascii="Times New Roman" w:hAnsi="Times New Roman" w:cs="Times New Roman"/>
          <w:sz w:val="28"/>
          <w:szCs w:val="28"/>
        </w:rPr>
        <w:t>9) иные функции, предусмотренные Уставом ОРМО, Положением об администрации ОРМО, Положением о КУМИ и ПТ администрации ОРМО.</w:t>
      </w:r>
    </w:p>
    <w:bookmarkEnd w:id="6"/>
    <w:p w:rsidR="00E0312F" w:rsidRPr="00B9370C" w:rsidRDefault="00E0312F" w:rsidP="00851BC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370C">
        <w:rPr>
          <w:rFonts w:ascii="Times New Roman" w:hAnsi="Times New Roman" w:cs="Times New Roman"/>
          <w:sz w:val="28"/>
          <w:szCs w:val="28"/>
        </w:rPr>
        <w:t xml:space="preserve">3. По исполнению задачи 4 запланировано основное  мероприятие «Реализация </w:t>
      </w:r>
      <w:r>
        <w:rPr>
          <w:rFonts w:ascii="Times New Roman" w:hAnsi="Times New Roman" w:cs="Times New Roman"/>
          <w:sz w:val="28"/>
          <w:szCs w:val="28"/>
        </w:rPr>
        <w:t xml:space="preserve">полномочий администрации района в сфере </w:t>
      </w:r>
      <w:r w:rsidRPr="00B9370C">
        <w:rPr>
          <w:rFonts w:ascii="Times New Roman" w:hAnsi="Times New Roman" w:cs="Times New Roman"/>
          <w:sz w:val="28"/>
          <w:szCs w:val="28"/>
        </w:rPr>
        <w:t>инвестиционной политики в ОРМО»,</w:t>
      </w:r>
      <w:r w:rsidRPr="00B9370C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предусматривающее повышение эффективности исполнения возложенных функций на отдел инвестиционной политики</w:t>
      </w:r>
      <w:r w:rsidRPr="00B9370C">
        <w:rPr>
          <w:rFonts w:ascii="Times New Roman" w:hAnsi="Times New Roman" w:cs="Times New Roman"/>
          <w:sz w:val="28"/>
          <w:szCs w:val="28"/>
        </w:rPr>
        <w:t>. В рамках мероприятия планируется:</w:t>
      </w:r>
    </w:p>
    <w:p w:rsidR="00E0312F" w:rsidRPr="00B9370C" w:rsidRDefault="00E0312F" w:rsidP="00851BC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1) реализация муниципальной политики развития в сфере управления сельским хозяйством, в т.ч. привлечения инвестиций в отрасль путем участия </w:t>
      </w:r>
      <w:r w:rsidRPr="00B9370C">
        <w:rPr>
          <w:rFonts w:ascii="Times New Roman" w:hAnsi="Times New Roman" w:cs="Times New Roman"/>
          <w:color w:val="000000"/>
          <w:sz w:val="28"/>
          <w:szCs w:val="28"/>
        </w:rPr>
        <w:t>в государственных программах Иркутской области, Российской Федерации, частных инвестиций фермерских хозяйств и иных хозяйствующих субъектов в данной сфере деятельности</w:t>
      </w:r>
      <w:r w:rsidRPr="00B9370C">
        <w:rPr>
          <w:rFonts w:ascii="Times New Roman" w:hAnsi="Times New Roman" w:cs="Times New Roman"/>
          <w:sz w:val="28"/>
          <w:szCs w:val="28"/>
        </w:rPr>
        <w:t>;</w:t>
      </w:r>
    </w:p>
    <w:p w:rsidR="00E0312F" w:rsidRPr="00B9370C" w:rsidRDefault="00E0312F" w:rsidP="00851BC6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2) реализация муниципальной политики развития в области </w:t>
      </w:r>
      <w:r w:rsidRPr="00B9370C">
        <w:rPr>
          <w:rFonts w:ascii="Times New Roman" w:hAnsi="Times New Roman" w:cs="Times New Roman"/>
          <w:color w:val="000000"/>
          <w:sz w:val="28"/>
          <w:szCs w:val="28"/>
        </w:rPr>
        <w:t>экологии и природопользования, в т.ч. привлечения бюджетных инвестиций путем участия в государственных программах Иркутской области, Российской Федерации;</w:t>
      </w:r>
    </w:p>
    <w:p w:rsidR="00E0312F" w:rsidRPr="00B9370C" w:rsidRDefault="00E0312F" w:rsidP="00851BC6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70C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B9370C">
        <w:rPr>
          <w:rFonts w:ascii="Times New Roman" w:hAnsi="Times New Roman" w:cs="Times New Roman"/>
          <w:sz w:val="28"/>
          <w:szCs w:val="28"/>
        </w:rPr>
        <w:t xml:space="preserve">реализация муниципальной политики развития в области </w:t>
      </w:r>
      <w:r w:rsidRPr="00B9370C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хозяйства, в т.ч. привлечения бюджетных инвестиций путем участия в государственных программах Иркутской области;</w:t>
      </w:r>
    </w:p>
    <w:p w:rsidR="00E0312F" w:rsidRPr="00B9370C" w:rsidRDefault="00E0312F" w:rsidP="00851BC6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70C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B9370C">
        <w:rPr>
          <w:rFonts w:ascii="Times New Roman" w:hAnsi="Times New Roman" w:cs="Times New Roman"/>
          <w:sz w:val="28"/>
          <w:szCs w:val="28"/>
        </w:rPr>
        <w:t xml:space="preserve">реализация муниципальной политики по развитию дорожного хозяйства, эффективного управления средствами муниципального дорожного фонда, </w:t>
      </w:r>
      <w:r w:rsidRPr="00B9370C">
        <w:rPr>
          <w:rFonts w:ascii="Times New Roman" w:hAnsi="Times New Roman" w:cs="Times New Roman"/>
          <w:color w:val="000000"/>
          <w:sz w:val="28"/>
          <w:szCs w:val="28"/>
        </w:rPr>
        <w:t>в т.ч. привлечения бюджетных инвестиций путем участия в государственных программах Иркутской области;</w:t>
      </w:r>
    </w:p>
    <w:p w:rsidR="00E0312F" w:rsidRPr="00B9370C" w:rsidRDefault="00E0312F" w:rsidP="00851BC6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70C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B9370C">
        <w:rPr>
          <w:rFonts w:ascii="Times New Roman" w:hAnsi="Times New Roman" w:cs="Times New Roman"/>
          <w:sz w:val="28"/>
          <w:szCs w:val="28"/>
        </w:rPr>
        <w:t>реализация муниципальной политики по развитию частно- государственного партнерства, привлечение частных инвестиций в поддержку отраслей экономики ОРМО;</w:t>
      </w:r>
    </w:p>
    <w:p w:rsidR="00E0312F" w:rsidRPr="00B9370C" w:rsidRDefault="00E0312F" w:rsidP="00851BC6">
      <w:pPr>
        <w:spacing w:line="100" w:lineRule="atLeast"/>
        <w:jc w:val="both"/>
        <w:rPr>
          <w:rFonts w:ascii="Times New Roman" w:hAnsi="Times New Roman" w:cs="Times New Roman"/>
        </w:rPr>
      </w:pPr>
      <w:r w:rsidRPr="00B9370C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B9370C">
        <w:rPr>
          <w:rFonts w:ascii="Times New Roman" w:hAnsi="Times New Roman" w:cs="Times New Roman"/>
          <w:sz w:val="28"/>
          <w:szCs w:val="28"/>
        </w:rPr>
        <w:t>иные функции, предусмотренные Уставом ОРМО, Положением об администрации ОРМО, Положением об отделе инвестиционной администрации ОРМО.</w:t>
      </w:r>
    </w:p>
    <w:p w:rsidR="00E0312F" w:rsidRPr="00B9370C" w:rsidRDefault="00E0312F" w:rsidP="00851B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4. По исполнению задачи 5 предусмотрено основное  мероприятие «Награждение Почетной грамотой и Благодарностью мэра района», </w:t>
      </w:r>
      <w:r w:rsidRPr="00B9370C">
        <w:rPr>
          <w:rFonts w:ascii="Times New Roman" w:hAnsi="Times New Roman" w:cs="Times New Roman"/>
          <w:color w:val="000000"/>
          <w:sz w:val="28"/>
          <w:szCs w:val="28"/>
        </w:rPr>
        <w:t>предусматривающее стимулирование и поощрение граждан за личный вклад в социально-экономическое развитие района, за достижение высоких производственных показателей, за многолетний и добросовестный труд в соответствии с Положением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награждении Почетной грамотой, объявлению благодарности, направления Приветственного адреса мэра Ольхонского района</w:t>
      </w:r>
      <w:r w:rsidRPr="00B9370C">
        <w:rPr>
          <w:rFonts w:ascii="Times New Roman" w:hAnsi="Times New Roman" w:cs="Times New Roman"/>
          <w:color w:val="000000"/>
          <w:sz w:val="28"/>
          <w:szCs w:val="28"/>
        </w:rPr>
        <w:t>, 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9370C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районной Думы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25.06.2004г. №135.</w:t>
      </w:r>
    </w:p>
    <w:p w:rsidR="00E0312F" w:rsidRPr="00B9370C" w:rsidRDefault="00E0312F" w:rsidP="00851BC6">
      <w:pPr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70C">
        <w:rPr>
          <w:rFonts w:ascii="Times New Roman" w:hAnsi="Times New Roman" w:cs="Times New Roman"/>
          <w:color w:val="000000"/>
          <w:sz w:val="28"/>
          <w:szCs w:val="28"/>
        </w:rPr>
        <w:t xml:space="preserve">            5. По исполнению задачи 6 предусмотрено основное мероприятие «Исполнение переданных полномочий поселений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ОРМО</w:t>
      </w:r>
      <w:r w:rsidRPr="00B9370C">
        <w:rPr>
          <w:rFonts w:ascii="Times New Roman" w:hAnsi="Times New Roman" w:cs="Times New Roman"/>
          <w:color w:val="000000"/>
          <w:sz w:val="28"/>
          <w:szCs w:val="28"/>
        </w:rPr>
        <w:t>» в соответствии с заключенными соглашениями о передаче части полномочий поселений района в рамках ч.4 статьи 15 федерального закона от 06.10.2003г. №131-фз «Об общих принципах организации местного самоуправления в РФ», исполняемых за счет межбюджетных трансфертов, предоставляемых из бюджетов поселений района.</w:t>
      </w:r>
    </w:p>
    <w:p w:rsidR="00E0312F" w:rsidRPr="007D0CC2" w:rsidRDefault="00E0312F" w:rsidP="007D0C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6. </w:t>
      </w:r>
      <w:r w:rsidRPr="007D0CC2">
        <w:rPr>
          <w:rFonts w:ascii="Times New Roman" w:hAnsi="Times New Roman" w:cs="Times New Roman"/>
          <w:color w:val="000000"/>
          <w:sz w:val="28"/>
          <w:szCs w:val="28"/>
        </w:rPr>
        <w:t>По исполнению задачи 7 предусмотрено основное мероприятие «Выплата муниципальной пенсии» в рамках федерального закона от 02.03.2007г. №25-фз «О муниципальной службе в Российской Федерации», закона Иркутской области от 15.10.2007г. №88-оз «Об отдельных вопросах муниципальной службы в Иркутской области», решением районной Думы от 08.10.2008г. №235 «Об отдельных вопросах муниципальной службы в Ольхонском районном муниципальном образовании» (с изменениями и дополнениями).</w:t>
      </w:r>
    </w:p>
    <w:p w:rsidR="00E0312F" w:rsidRPr="003223DB" w:rsidRDefault="00E0312F" w:rsidP="003900EC">
      <w:pPr>
        <w:widowControl/>
        <w:suppressAutoHyphens w:val="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3DB">
        <w:rPr>
          <w:rFonts w:ascii="Times New Roman" w:hAnsi="Times New Roman" w:cs="Times New Roman"/>
          <w:sz w:val="28"/>
          <w:szCs w:val="28"/>
        </w:rPr>
        <w:t>7. По задаче 8</w:t>
      </w:r>
      <w:r w:rsidRPr="00322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CC2">
        <w:rPr>
          <w:rFonts w:ascii="Times New Roman" w:hAnsi="Times New Roman" w:cs="Times New Roman"/>
          <w:color w:val="000000"/>
          <w:sz w:val="28"/>
          <w:szCs w:val="28"/>
        </w:rPr>
        <w:t>предусмотрено основное мероприятие</w:t>
      </w:r>
      <w:r w:rsidRPr="003223D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223DB">
        <w:rPr>
          <w:rFonts w:ascii="Times New Roman" w:hAnsi="Times New Roman" w:cs="Times New Roman"/>
          <w:color w:val="000000"/>
          <w:sz w:val="28"/>
          <w:szCs w:val="28"/>
        </w:rPr>
        <w:t>Обеспечение непредвиденных расходов за счет средств резервного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фонда</w:t>
      </w:r>
      <w:r w:rsidRPr="003223DB"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Данное мероприятие включает одно</w:t>
      </w:r>
      <w:r w:rsidRPr="003223DB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23DB">
        <w:rPr>
          <w:rFonts w:ascii="Times New Roman" w:hAnsi="Times New Roman" w:cs="Times New Roman"/>
          <w:color w:val="000000"/>
          <w:sz w:val="28"/>
          <w:szCs w:val="28"/>
        </w:rPr>
        <w:t>, это создание резервного фонда администрации ОРМО, которое обеспечивает поддержание необходимых финансовых резервов для исполнения тех расходов, которые не могут быть запланированы при формировании проекта решения о бюджете  на очередной финансовый год и плановый период. Мероприятие направлено на своевременное предоставление бюджетных средств по решениям администрации ОРМО в соответствии с требованиями бюджетного законодательства и Положения о порядке использования бюджетных ассигнований резервного фонда администрации ОРМО, утвержденного постановлением администрации ОРМО от 27 октября 2008 года № 1290.</w:t>
      </w:r>
    </w:p>
    <w:p w:rsidR="00E0312F" w:rsidRPr="003223DB" w:rsidRDefault="00E0312F" w:rsidP="003223DB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D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резервным фондом администрации ОРМО в соответствии со ст.63,71 Устава ОРМО, Положением о порядке расходования средств резервного фонда администрации ОРМО, утвержденного постановлением мэра района от 27.10.2008г. №1290. </w:t>
      </w:r>
    </w:p>
    <w:p w:rsidR="00E0312F" w:rsidRPr="007D0CC2" w:rsidRDefault="00E0312F" w:rsidP="007D0CC2">
      <w:pPr>
        <w:pStyle w:val="ListParagraph"/>
        <w:tabs>
          <w:tab w:val="left" w:pos="459"/>
        </w:tabs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12F" w:rsidRPr="00B9370C" w:rsidRDefault="00E0312F" w:rsidP="003223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>РАЗДЕЛ 3. РЕСУРСНОЕ ОБЕСПЕЧЕНИЕ ПОДПРОГРАММЫ</w:t>
      </w:r>
    </w:p>
    <w:p w:rsidR="00E0312F" w:rsidRPr="00B9370C" w:rsidRDefault="00E0312F" w:rsidP="00851BC6">
      <w:pPr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0312F" w:rsidRDefault="00E0312F" w:rsidP="00851BC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        Реализация мероприятий подпрограммы осуществляется за счет средств районного бюджета и бюджетов поселений. </w:t>
      </w:r>
    </w:p>
    <w:p w:rsidR="00E0312F" w:rsidRDefault="00E0312F" w:rsidP="00146FC8">
      <w:pPr>
        <w:snapToGrid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</w:t>
      </w:r>
      <w:r>
        <w:rPr>
          <w:rFonts w:ascii="Times New Roman" w:hAnsi="Times New Roman" w:cs="Times New Roman"/>
          <w:sz w:val="28"/>
          <w:szCs w:val="28"/>
        </w:rPr>
        <w:t xml:space="preserve">65559,3 </w:t>
      </w:r>
      <w:r w:rsidRPr="00B9370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0312F" w:rsidRPr="00B9370C" w:rsidRDefault="00E0312F" w:rsidP="00146FC8">
      <w:pPr>
        <w:snapToGrid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  <w:r w:rsidRPr="00B937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22686,9 тыс.рублей.</w:t>
      </w:r>
    </w:p>
    <w:p w:rsidR="00E0312F" w:rsidRPr="00B9370C" w:rsidRDefault="00E0312F" w:rsidP="00146FC8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370C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20316,3 тыс</w:t>
      </w:r>
      <w:r w:rsidRPr="00B9370C">
        <w:rPr>
          <w:rFonts w:ascii="Times New Roman" w:hAnsi="Times New Roman" w:cs="Times New Roman"/>
          <w:sz w:val="28"/>
          <w:szCs w:val="28"/>
        </w:rPr>
        <w:t>. рублей</w:t>
      </w:r>
    </w:p>
    <w:p w:rsidR="00E0312F" w:rsidRPr="00B9370C" w:rsidRDefault="00E0312F" w:rsidP="00146FC8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370C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11311,7 </w:t>
      </w:r>
      <w:r w:rsidRPr="00B9370C">
        <w:rPr>
          <w:rFonts w:ascii="Times New Roman" w:hAnsi="Times New Roman" w:cs="Times New Roman"/>
          <w:sz w:val="28"/>
          <w:szCs w:val="28"/>
        </w:rPr>
        <w:t>тыс. рублей</w:t>
      </w:r>
    </w:p>
    <w:p w:rsidR="00E0312F" w:rsidRPr="00B9370C" w:rsidRDefault="00E0312F" w:rsidP="00146FC8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37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11244,4 </w:t>
      </w:r>
      <w:r w:rsidRPr="00B9370C">
        <w:rPr>
          <w:rFonts w:ascii="Times New Roman" w:hAnsi="Times New Roman" w:cs="Times New Roman"/>
          <w:sz w:val="28"/>
          <w:szCs w:val="28"/>
        </w:rPr>
        <w:t>тыс. рублей</w:t>
      </w:r>
    </w:p>
    <w:p w:rsidR="00E0312F" w:rsidRPr="00B9370C" w:rsidRDefault="00E0312F" w:rsidP="00146FC8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>Объем финансирования за счет средств районного бюджета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64538,0 </w:t>
      </w:r>
      <w:r w:rsidRPr="00B9370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0312F" w:rsidRPr="00B9370C" w:rsidRDefault="00E0312F" w:rsidP="00146FC8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 xml:space="preserve">22063,8 </w:t>
      </w:r>
      <w:r w:rsidRPr="00B9370C">
        <w:rPr>
          <w:rFonts w:ascii="Times New Roman" w:hAnsi="Times New Roman" w:cs="Times New Roman"/>
          <w:sz w:val="28"/>
          <w:szCs w:val="28"/>
        </w:rPr>
        <w:t>тыс. рублей</w:t>
      </w:r>
    </w:p>
    <w:p w:rsidR="00E0312F" w:rsidRPr="00B9370C" w:rsidRDefault="00E0312F" w:rsidP="00146FC8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19918,1</w:t>
      </w:r>
      <w:r w:rsidRPr="00B9370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0312F" w:rsidRDefault="00E0312F" w:rsidP="00146FC8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14603,3</w:t>
      </w:r>
      <w:r w:rsidRPr="00B9370C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E0312F" w:rsidRDefault="00E0312F" w:rsidP="00146FC8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B937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11244,4 тыс.рублей.</w:t>
      </w:r>
    </w:p>
    <w:p w:rsidR="00E0312F" w:rsidRPr="00B9370C" w:rsidRDefault="00E0312F" w:rsidP="00C3023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>Финансирование подпрограммы в разрезе по годам, подпрограмм и основных мероприятий представлено в приложениях 3 и 4 к подпрограмме.</w:t>
      </w:r>
    </w:p>
    <w:p w:rsidR="00E0312F" w:rsidRDefault="00E0312F" w:rsidP="00851BC6">
      <w:pPr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0312F" w:rsidRPr="00B9370C" w:rsidRDefault="00E0312F" w:rsidP="00851BC6">
      <w:pPr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>РАЗДЕЛ 4. ПРОГНОЗ СВОДНЫХ ПОКАЗАТЕЛЕЙ МУНИЦИПАЛЬНЫХ ЗАДАНИЙ</w:t>
      </w:r>
    </w:p>
    <w:p w:rsidR="00E0312F" w:rsidRPr="00B9370C" w:rsidRDefault="00E0312F" w:rsidP="00851BC6">
      <w:pPr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0312F" w:rsidRPr="00B9370C" w:rsidRDefault="00E0312F" w:rsidP="00851BC6">
      <w:pPr>
        <w:spacing w:line="10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>В рамках подпрограммы не предусмотрено оказание услуг (выполнение работ) муниципальными учреждениями.</w:t>
      </w:r>
    </w:p>
    <w:p w:rsidR="00E0312F" w:rsidRPr="00B9370C" w:rsidRDefault="00E0312F" w:rsidP="00851BC6">
      <w:pPr>
        <w:spacing w:line="10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E0312F" w:rsidRPr="00B9370C" w:rsidRDefault="00E0312F" w:rsidP="00851BC6">
      <w:pPr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>РАЗДЕЛ 5. ОБЪЕМЫ ФИНАНСИРОВАНИЯ МЕРОПРИЯТИЙ ПОДПРОГРАММЫ ЗА СЧЕТ СРЕДСТВ БЮДЖЕТОВ ПОСЕЛЕНИЙ</w:t>
      </w:r>
    </w:p>
    <w:p w:rsidR="00E0312F" w:rsidRPr="00B9370C" w:rsidRDefault="00E0312F" w:rsidP="00851BC6">
      <w:pPr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0312F" w:rsidRPr="00B9370C" w:rsidRDefault="00E0312F" w:rsidP="000E222A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            Реализация мероприятий подпрограммы частично за счет средств бюджетов поселений в части исполнения переданных полномочий поселений района. Объем финансирования за счет средств бюджетов поселений составляет </w:t>
      </w:r>
      <w:r>
        <w:rPr>
          <w:rFonts w:ascii="Times New Roman" w:hAnsi="Times New Roman" w:cs="Times New Roman"/>
          <w:sz w:val="28"/>
          <w:szCs w:val="28"/>
        </w:rPr>
        <w:t>1021,3</w:t>
      </w:r>
      <w:r w:rsidRPr="00B937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0312F" w:rsidRPr="00B9370C" w:rsidRDefault="00E0312F" w:rsidP="000E222A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>623,1</w:t>
      </w:r>
      <w:r w:rsidRPr="00B937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12F" w:rsidRPr="00B9370C" w:rsidRDefault="00E0312F" w:rsidP="000E222A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398,2</w:t>
      </w:r>
      <w:r w:rsidRPr="00B937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12F" w:rsidRPr="00B9370C" w:rsidRDefault="00E0312F" w:rsidP="000E222A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937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12F" w:rsidRPr="00B9370C" w:rsidRDefault="00E0312F" w:rsidP="000E222A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  <w:r w:rsidRPr="00B937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 тыс.рублей.</w:t>
      </w:r>
    </w:p>
    <w:p w:rsidR="00E0312F" w:rsidRPr="00B9370C" w:rsidRDefault="00E0312F" w:rsidP="00851BC6">
      <w:pPr>
        <w:spacing w:line="10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E0312F" w:rsidRPr="00B9370C" w:rsidRDefault="00E0312F" w:rsidP="00851BC6">
      <w:pPr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>РАЗДЕЛ 6. СВЕДЕНИЯ ОБ УЧАСТИИ ИНЫХ ОРГАНИЗАЦИЙ</w:t>
      </w:r>
    </w:p>
    <w:p w:rsidR="00E0312F" w:rsidRPr="00B9370C" w:rsidRDefault="00E0312F" w:rsidP="00851BC6">
      <w:pPr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0312F" w:rsidRPr="00B9370C" w:rsidRDefault="00E0312F" w:rsidP="00851BC6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70C">
        <w:rPr>
          <w:rFonts w:ascii="Times New Roman" w:hAnsi="Times New Roman" w:cs="Times New Roman"/>
          <w:sz w:val="28"/>
          <w:szCs w:val="28"/>
        </w:rPr>
        <w:t xml:space="preserve">Участие в реализации подпрограммы муниципальных унитарных предприятий, общественных и иных организаций не предусмотрено. </w:t>
      </w:r>
    </w:p>
    <w:p w:rsidR="00E0312F" w:rsidRDefault="00E0312F"/>
    <w:sectPr w:rsidR="00E0312F" w:rsidSect="00784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2F" w:rsidRDefault="00E0312F" w:rsidP="00A04AA5">
      <w:r>
        <w:separator/>
      </w:r>
    </w:p>
  </w:endnote>
  <w:endnote w:type="continuationSeparator" w:id="0">
    <w:p w:rsidR="00E0312F" w:rsidRDefault="00E0312F" w:rsidP="00A0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2F" w:rsidRDefault="00E0312F" w:rsidP="00A04AA5">
      <w:r>
        <w:separator/>
      </w:r>
    </w:p>
  </w:footnote>
  <w:footnote w:type="continuationSeparator" w:id="0">
    <w:p w:rsidR="00E0312F" w:rsidRDefault="00E0312F" w:rsidP="00A04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1097"/>
    <w:multiLevelType w:val="hybridMultilevel"/>
    <w:tmpl w:val="B17C6B30"/>
    <w:lvl w:ilvl="0" w:tplc="ECB44D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2BF5037"/>
    <w:multiLevelType w:val="hybridMultilevel"/>
    <w:tmpl w:val="F1F62236"/>
    <w:lvl w:ilvl="0" w:tplc="F15E4C8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D405460"/>
    <w:multiLevelType w:val="hybridMultilevel"/>
    <w:tmpl w:val="0E0E8208"/>
    <w:lvl w:ilvl="0" w:tplc="C3901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75E0277"/>
    <w:multiLevelType w:val="hybridMultilevel"/>
    <w:tmpl w:val="06D6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615827"/>
    <w:multiLevelType w:val="hybridMultilevel"/>
    <w:tmpl w:val="D2F0C71E"/>
    <w:lvl w:ilvl="0" w:tplc="A9246D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46122AB"/>
    <w:multiLevelType w:val="hybridMultilevel"/>
    <w:tmpl w:val="AEC8D274"/>
    <w:lvl w:ilvl="0" w:tplc="E796016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BC6"/>
    <w:rsid w:val="00016693"/>
    <w:rsid w:val="00024736"/>
    <w:rsid w:val="0004142B"/>
    <w:rsid w:val="0005686F"/>
    <w:rsid w:val="00084AEF"/>
    <w:rsid w:val="000B2293"/>
    <w:rsid w:val="000C21D3"/>
    <w:rsid w:val="000E222A"/>
    <w:rsid w:val="00101A52"/>
    <w:rsid w:val="00101D1E"/>
    <w:rsid w:val="0011040C"/>
    <w:rsid w:val="00122AC4"/>
    <w:rsid w:val="0013048F"/>
    <w:rsid w:val="00146F57"/>
    <w:rsid w:val="00146FC8"/>
    <w:rsid w:val="00165017"/>
    <w:rsid w:val="001B683C"/>
    <w:rsid w:val="001B71A8"/>
    <w:rsid w:val="001E3767"/>
    <w:rsid w:val="00201D0D"/>
    <w:rsid w:val="002134CD"/>
    <w:rsid w:val="00227508"/>
    <w:rsid w:val="00237E7B"/>
    <w:rsid w:val="002679B9"/>
    <w:rsid w:val="002A4F9A"/>
    <w:rsid w:val="002A66EC"/>
    <w:rsid w:val="002C0511"/>
    <w:rsid w:val="002D4D2E"/>
    <w:rsid w:val="002E7AC7"/>
    <w:rsid w:val="00315AA4"/>
    <w:rsid w:val="003223DB"/>
    <w:rsid w:val="003249B2"/>
    <w:rsid w:val="0035498E"/>
    <w:rsid w:val="00376675"/>
    <w:rsid w:val="003853AE"/>
    <w:rsid w:val="003900EC"/>
    <w:rsid w:val="003A072C"/>
    <w:rsid w:val="003B3BE5"/>
    <w:rsid w:val="003C6E08"/>
    <w:rsid w:val="00400624"/>
    <w:rsid w:val="00411CE1"/>
    <w:rsid w:val="00412BA0"/>
    <w:rsid w:val="00420114"/>
    <w:rsid w:val="0043158C"/>
    <w:rsid w:val="00456643"/>
    <w:rsid w:val="00463440"/>
    <w:rsid w:val="00484C16"/>
    <w:rsid w:val="00484F2D"/>
    <w:rsid w:val="00497B4B"/>
    <w:rsid w:val="004B453F"/>
    <w:rsid w:val="004C0C36"/>
    <w:rsid w:val="004C0E7E"/>
    <w:rsid w:val="004F1915"/>
    <w:rsid w:val="00517122"/>
    <w:rsid w:val="005346BB"/>
    <w:rsid w:val="005454AE"/>
    <w:rsid w:val="00547140"/>
    <w:rsid w:val="00547BDC"/>
    <w:rsid w:val="00570911"/>
    <w:rsid w:val="00572B45"/>
    <w:rsid w:val="00582B10"/>
    <w:rsid w:val="005A6CDE"/>
    <w:rsid w:val="005B51AB"/>
    <w:rsid w:val="005C0846"/>
    <w:rsid w:val="005D68D2"/>
    <w:rsid w:val="0060070D"/>
    <w:rsid w:val="00601F80"/>
    <w:rsid w:val="0060702F"/>
    <w:rsid w:val="00622627"/>
    <w:rsid w:val="00630CA1"/>
    <w:rsid w:val="0065713C"/>
    <w:rsid w:val="0068166B"/>
    <w:rsid w:val="00692614"/>
    <w:rsid w:val="00694715"/>
    <w:rsid w:val="006B3FF8"/>
    <w:rsid w:val="006D5598"/>
    <w:rsid w:val="006F7C7A"/>
    <w:rsid w:val="00723312"/>
    <w:rsid w:val="007503EA"/>
    <w:rsid w:val="00784883"/>
    <w:rsid w:val="007901FC"/>
    <w:rsid w:val="0079241E"/>
    <w:rsid w:val="007C6412"/>
    <w:rsid w:val="007D0CC2"/>
    <w:rsid w:val="007F317C"/>
    <w:rsid w:val="007F6C60"/>
    <w:rsid w:val="007F747B"/>
    <w:rsid w:val="00801A5D"/>
    <w:rsid w:val="00815ADC"/>
    <w:rsid w:val="00825F17"/>
    <w:rsid w:val="00851BC6"/>
    <w:rsid w:val="00864A79"/>
    <w:rsid w:val="0088525D"/>
    <w:rsid w:val="008A0A57"/>
    <w:rsid w:val="008B7C87"/>
    <w:rsid w:val="008E176B"/>
    <w:rsid w:val="00911200"/>
    <w:rsid w:val="0092775C"/>
    <w:rsid w:val="00931FD5"/>
    <w:rsid w:val="00933169"/>
    <w:rsid w:val="00961EC9"/>
    <w:rsid w:val="0098280C"/>
    <w:rsid w:val="00985492"/>
    <w:rsid w:val="00986BBB"/>
    <w:rsid w:val="009A4864"/>
    <w:rsid w:val="009B2B06"/>
    <w:rsid w:val="009C53D6"/>
    <w:rsid w:val="009E54EF"/>
    <w:rsid w:val="009F70F7"/>
    <w:rsid w:val="00A04AA5"/>
    <w:rsid w:val="00A22CA7"/>
    <w:rsid w:val="00A32BB9"/>
    <w:rsid w:val="00A44BCF"/>
    <w:rsid w:val="00A65C92"/>
    <w:rsid w:val="00A726D5"/>
    <w:rsid w:val="00A9641D"/>
    <w:rsid w:val="00A974F9"/>
    <w:rsid w:val="00AA51D2"/>
    <w:rsid w:val="00AB403B"/>
    <w:rsid w:val="00AC6068"/>
    <w:rsid w:val="00AD3CFA"/>
    <w:rsid w:val="00AE00C7"/>
    <w:rsid w:val="00AF60EF"/>
    <w:rsid w:val="00B07223"/>
    <w:rsid w:val="00B109B9"/>
    <w:rsid w:val="00B26803"/>
    <w:rsid w:val="00B344B0"/>
    <w:rsid w:val="00B424A1"/>
    <w:rsid w:val="00B46BE2"/>
    <w:rsid w:val="00B9370C"/>
    <w:rsid w:val="00B93EC3"/>
    <w:rsid w:val="00BA504C"/>
    <w:rsid w:val="00BB78D3"/>
    <w:rsid w:val="00BE5EAD"/>
    <w:rsid w:val="00BF40A8"/>
    <w:rsid w:val="00C25C35"/>
    <w:rsid w:val="00C30233"/>
    <w:rsid w:val="00C3675A"/>
    <w:rsid w:val="00C405B3"/>
    <w:rsid w:val="00C60F7D"/>
    <w:rsid w:val="00C734D2"/>
    <w:rsid w:val="00C80169"/>
    <w:rsid w:val="00C9178A"/>
    <w:rsid w:val="00CA5AEB"/>
    <w:rsid w:val="00CB1E48"/>
    <w:rsid w:val="00CB6850"/>
    <w:rsid w:val="00CC7F36"/>
    <w:rsid w:val="00CE51F9"/>
    <w:rsid w:val="00D3613D"/>
    <w:rsid w:val="00D53222"/>
    <w:rsid w:val="00D750E4"/>
    <w:rsid w:val="00D7510F"/>
    <w:rsid w:val="00E00CF2"/>
    <w:rsid w:val="00E02E0E"/>
    <w:rsid w:val="00E0312F"/>
    <w:rsid w:val="00E04622"/>
    <w:rsid w:val="00E23CDD"/>
    <w:rsid w:val="00E57413"/>
    <w:rsid w:val="00E6343D"/>
    <w:rsid w:val="00E76924"/>
    <w:rsid w:val="00E84934"/>
    <w:rsid w:val="00EC7ADA"/>
    <w:rsid w:val="00EC7DB0"/>
    <w:rsid w:val="00F06B72"/>
    <w:rsid w:val="00F147FB"/>
    <w:rsid w:val="00F53BA5"/>
    <w:rsid w:val="00F64B4F"/>
    <w:rsid w:val="00F70424"/>
    <w:rsid w:val="00F70A2B"/>
    <w:rsid w:val="00F861A9"/>
    <w:rsid w:val="00FC77C7"/>
    <w:rsid w:val="00FE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C6"/>
    <w:pPr>
      <w:widowControl w:val="0"/>
      <w:suppressAutoHyphens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851BC6"/>
    <w:pPr>
      <w:suppressLineNumbers/>
    </w:pPr>
  </w:style>
  <w:style w:type="paragraph" w:customStyle="1" w:styleId="ConsPlusNonformat">
    <w:name w:val="ConsPlusNonformat"/>
    <w:uiPriority w:val="99"/>
    <w:rsid w:val="00851BC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51BC6"/>
    <w:pPr>
      <w:ind w:left="720"/>
    </w:pPr>
  </w:style>
  <w:style w:type="paragraph" w:customStyle="1" w:styleId="ConsPlusNormal">
    <w:name w:val="ConsPlusNormal"/>
    <w:uiPriority w:val="99"/>
    <w:rsid w:val="00851B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04A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4AA5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rsid w:val="00A04A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4AA5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E2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CDD"/>
    <w:rPr>
      <w:rFonts w:ascii="Tahoma" w:eastAsia="SimSun" w:hAnsi="Tahoma" w:cs="Tahoma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408</TotalTime>
  <Pages>8</Pages>
  <Words>2626</Words>
  <Characters>14972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68</cp:revision>
  <cp:lastPrinted>2015-12-03T08:34:00Z</cp:lastPrinted>
  <dcterms:created xsi:type="dcterms:W3CDTF">2013-11-18T00:52:00Z</dcterms:created>
  <dcterms:modified xsi:type="dcterms:W3CDTF">2015-12-03T08:34:00Z</dcterms:modified>
</cp:coreProperties>
</file>